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Берлин и Токио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…Основные цели, которые заставили Японию и Германию взяться за оружие, были одни и те же…
          <w:br/>
          <w:br/>
          Японская газета «Ниппон таймс», декабрь 1944 г.
          <w:br/>
          <w:br/>
          Они сознались, что имели
          <w:br/>
          Одни намеренья и цели:
          <w:br/>
          Они свою ковали ось,
          <w:br/>
          Чтоб шар земной проткнуть насквозь.
          <w:br/>
          <w:br/>
          Но разлучилась эта пара…
          <w:br/>
          Один исчез не так давно
          <w:br/>
          И на коре земного шара
          <w:br/>
          Оставил грязное пятно.
          <w:br/>
          <w:br/>
          Теперь другой узнал на деле,
          <w:br/>
          Что грозный суд неотвратим,
          <w:br/>
          Что одинаковые цели
          <w:br/>
          Ведут к последствиям одним.
          <w:br/>
          <w:br/>
          За преступления жестокие
          <w:br/>
          Враги дадут ответ один.
          <w:br/>
          Приехал к финишу Берлин,
          <w:br/>
          За ним последует и Токио.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2022-03-21T14:15:22+03:00</dcterms:created>
  <dcterms:modified xsi:type="dcterms:W3CDTF">2022-03-21T14:15:22+03:00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