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Геббельс и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течение всей войны я каждую неделю публично обращался к народу. Если иногда мне приходилось заблуждаться, то эти заблуждения являются следствием несовершенства человеческой природы.
          <w:br/>
          <w:br/>
          Геббельс. «Дас райх»
          <w:br/>
          <w:br/>
          Статьи сдавал он в свой журнал,
          <w:br/>
          Как немец, аккуратно.
          <w:br/>
          И каждый раз при этом врал
          <w:br/>
          В печати непечатно.
          <w:br/>
          <w:br/>
          Но, притупив перо свое,
          <w:br/>
          Он пишет на прощанье:
          <w:br/>
          «Одно последнее вранье,
          <w:br/>
          И кончено сказанье».
          <w:br/>
          <w:br/>
          Он просит, опуская взгляд,
          <w:br/>
          Пардона у народа:
          <w:br/>
          «Не я в ошибках виноват,
          <w:br/>
          А, так сказать, природа».
          <w:br/>
          <w:br/>
          Конечно, в этом спору нет.
          <w:br/>
          Виновна та природа,
          <w:br/>
          Что породить могла на свет
          <w:br/>
          Подобного урода!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2022-03-21T14:19:29+03:00</dcterms:created>
  <dcterms:modified xsi:type="dcterms:W3CDTF">2022-03-21T14:19:29+03:00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